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2F909" w14:textId="77777777" w:rsidR="00216F74" w:rsidRPr="000A3A78" w:rsidRDefault="00216F74" w:rsidP="00216F74">
      <w:pPr>
        <w:rPr>
          <w:rFonts w:ascii="Arial" w:hAnsi="Arial" w:cs="Arial"/>
        </w:rPr>
      </w:pPr>
    </w:p>
    <w:p w14:paraId="7D88BA9D" w14:textId="77777777" w:rsidR="00216F74" w:rsidRPr="000A3A78" w:rsidRDefault="00216F74" w:rsidP="00216F74">
      <w:pPr>
        <w:rPr>
          <w:rFonts w:ascii="Arial" w:hAnsi="Arial" w:cs="Arial"/>
        </w:rPr>
      </w:pPr>
    </w:p>
    <w:p w14:paraId="291161EE" w14:textId="77777777" w:rsidR="00216F74" w:rsidRPr="000A3A78" w:rsidRDefault="00216F74" w:rsidP="00216F74">
      <w:pPr>
        <w:rPr>
          <w:rFonts w:ascii="Arial" w:hAnsi="Arial" w:cs="Arial"/>
        </w:rPr>
      </w:pPr>
    </w:p>
    <w:p w14:paraId="4057624A" w14:textId="6132FEE5" w:rsidR="00161A4A" w:rsidRDefault="00161A4A" w:rsidP="00161A4A">
      <w:pPr>
        <w:widowControl w:val="0"/>
        <w:autoSpaceDE w:val="0"/>
        <w:autoSpaceDN w:val="0"/>
        <w:adjustRightInd w:val="0"/>
        <w:rPr>
          <w:rFonts w:ascii="Calibri" w:eastAsiaTheme="minorHAnsi" w:hAnsi="Calibri" w:cs="Calibri"/>
          <w:sz w:val="28"/>
          <w:szCs w:val="28"/>
          <w:lang w:val="es-ES_tradnl" w:eastAsia="en-US"/>
        </w:rPr>
      </w:pPr>
      <w:r>
        <w:rPr>
          <w:rFonts w:ascii="Calibri" w:eastAsiaTheme="minorHAnsi" w:hAnsi="Calibri" w:cs="Calibri"/>
          <w:sz w:val="28"/>
          <w:szCs w:val="28"/>
          <w:lang w:val="es-ES_tradnl" w:eastAsia="en-US"/>
        </w:rPr>
        <w:t>Estimado Investigador:</w:t>
      </w:r>
    </w:p>
    <w:p w14:paraId="1D7F1318" w14:textId="77777777" w:rsidR="00216F74" w:rsidRPr="000A3A78" w:rsidRDefault="00216F74" w:rsidP="00216F74">
      <w:pPr>
        <w:jc w:val="both"/>
        <w:rPr>
          <w:rFonts w:ascii="Arial" w:hAnsi="Arial" w:cs="Arial"/>
        </w:rPr>
      </w:pPr>
    </w:p>
    <w:p w14:paraId="2F0C412C" w14:textId="5E8772E9" w:rsidR="00216F74" w:rsidRPr="000A3A78" w:rsidRDefault="00216F74" w:rsidP="00216F74">
      <w:pPr>
        <w:jc w:val="both"/>
        <w:rPr>
          <w:rFonts w:ascii="Arial" w:hAnsi="Arial" w:cs="Arial"/>
        </w:rPr>
      </w:pPr>
      <w:r w:rsidRPr="000A3A78">
        <w:rPr>
          <w:rFonts w:ascii="Arial" w:hAnsi="Arial" w:cs="Arial"/>
          <w:color w:val="000000"/>
        </w:rPr>
        <w:t xml:space="preserve">En relación con la obligación contenida en el numeral 6.1.4 de las Bases del </w:t>
      </w:r>
      <w:r w:rsidRPr="00161A4A">
        <w:rPr>
          <w:rFonts w:ascii="Arial" w:hAnsi="Arial" w:cs="Arial"/>
          <w:b/>
          <w:color w:val="000000"/>
        </w:rPr>
        <w:t>Concurso Nacional de Proyectos FONDECYT Regular 2016</w:t>
      </w:r>
      <w:r w:rsidR="00161A4A">
        <w:rPr>
          <w:rFonts w:ascii="Arial" w:hAnsi="Arial" w:cs="Arial"/>
          <w:color w:val="000000"/>
        </w:rPr>
        <w:t xml:space="preserve">, </w:t>
      </w:r>
      <w:r w:rsidRPr="000A3A78">
        <w:rPr>
          <w:rFonts w:ascii="Arial" w:hAnsi="Arial" w:cs="Arial"/>
          <w:color w:val="000000"/>
        </w:rPr>
        <w:t>e</w:t>
      </w:r>
      <w:r w:rsidRPr="000A3A78">
        <w:rPr>
          <w:rFonts w:ascii="Arial" w:hAnsi="Arial" w:cs="Arial"/>
        </w:rPr>
        <w:t xml:space="preserve">l Programa Fondecyt de CONICYT, a través de sus Consejos Superiores de Ciencia y </w:t>
      </w:r>
      <w:r w:rsidR="000A3A78">
        <w:rPr>
          <w:rFonts w:ascii="Arial" w:hAnsi="Arial" w:cs="Arial"/>
        </w:rPr>
        <w:t>Desarrollo Tecnológico</w:t>
      </w:r>
      <w:r w:rsidRPr="000A3A78">
        <w:rPr>
          <w:rFonts w:ascii="Arial" w:hAnsi="Arial" w:cs="Arial"/>
        </w:rPr>
        <w:t>,</w:t>
      </w:r>
      <w:r w:rsidRPr="000A3A78">
        <w:rPr>
          <w:rFonts w:ascii="Arial" w:hAnsi="Arial" w:cs="Arial"/>
          <w:color w:val="000000"/>
        </w:rPr>
        <w:t xml:space="preserve"> informa a la comunidad científica lo siguiente:</w:t>
      </w:r>
    </w:p>
    <w:p w14:paraId="042CEEB8" w14:textId="77777777" w:rsidR="00216F74" w:rsidRPr="000A3A78" w:rsidRDefault="00216F74" w:rsidP="00216F74">
      <w:pPr>
        <w:jc w:val="both"/>
        <w:rPr>
          <w:rFonts w:ascii="Arial" w:hAnsi="Arial" w:cs="Arial"/>
          <w:color w:val="000000"/>
        </w:rPr>
      </w:pPr>
      <w:r w:rsidRPr="000A3A78">
        <w:rPr>
          <w:rFonts w:ascii="Arial" w:hAnsi="Arial" w:cs="Arial"/>
          <w:color w:val="000000"/>
        </w:rPr>
        <w:t> </w:t>
      </w:r>
    </w:p>
    <w:p w14:paraId="4ACECDBD"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7AB7B964" w14:textId="77777777" w:rsidR="00216F74" w:rsidRPr="000A3A78" w:rsidRDefault="00216F74" w:rsidP="00216F74">
      <w:pPr>
        <w:jc w:val="both"/>
        <w:rPr>
          <w:rFonts w:ascii="Arial" w:hAnsi="Arial" w:cs="Arial"/>
          <w:color w:val="000000"/>
        </w:rPr>
      </w:pPr>
      <w:r w:rsidRPr="000A3A78">
        <w:rPr>
          <w:rFonts w:ascii="Arial" w:hAnsi="Arial" w:cs="Arial"/>
          <w:color w:val="000000"/>
        </w:rPr>
        <w:t>En el referido 6.1.4  se contempla la obligación de la suscripción de un mandato y pagaré para caución de los fondos entregados al (a la) Investigador (a) Responsable, en el marco del concurso y convenio que corresponda, como resguardo de recursos que son públicos.</w:t>
      </w:r>
    </w:p>
    <w:p w14:paraId="75501EDF"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1DBD406F"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005D99B3" w14:textId="3A6482DD" w:rsidR="00216F74" w:rsidRPr="000A3A78" w:rsidRDefault="00216F74" w:rsidP="00216F74">
      <w:pPr>
        <w:jc w:val="both"/>
        <w:rPr>
          <w:rFonts w:ascii="Arial" w:hAnsi="Arial" w:cs="Arial"/>
          <w:color w:val="000000"/>
        </w:rPr>
      </w:pPr>
      <w:r w:rsidRPr="000A3A78">
        <w:rPr>
          <w:rFonts w:ascii="Arial" w:hAnsi="Arial" w:cs="Arial"/>
          <w:color w:val="000000"/>
        </w:rPr>
        <w:t>Lo anterior, sólo aplica frente a un posible incumplimiento por parte de un(a) Investigador(a) Responsable en cuanto a la rendición de los recursos,  previo pronunciamiento de los Consejos Superiores de FONDECYT</w:t>
      </w:r>
      <w:r w:rsidR="000A3A78">
        <w:rPr>
          <w:rFonts w:ascii="Arial" w:hAnsi="Arial" w:cs="Arial"/>
          <w:color w:val="000000"/>
        </w:rPr>
        <w:t xml:space="preserve">, </w:t>
      </w:r>
      <w:r w:rsidRPr="000A3A78">
        <w:rPr>
          <w:rFonts w:ascii="Arial" w:hAnsi="Arial" w:cs="Arial"/>
          <w:color w:val="000000"/>
        </w:rPr>
        <w:t>siempre que se encuentren agotadas las acciones de cobro prejudiciales para este efecto. La suscripción del pagaré sólo constituye una garantía sobre los fondos que son transferidos al (a la) Investigador(a) Responsable, </w:t>
      </w:r>
    </w:p>
    <w:p w14:paraId="21DE246C"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62280625" w14:textId="02B3B6AF" w:rsidR="00216F74" w:rsidRPr="000A3A78" w:rsidRDefault="00216F74" w:rsidP="00216F74">
      <w:pPr>
        <w:jc w:val="both"/>
        <w:rPr>
          <w:rFonts w:ascii="Arial" w:hAnsi="Arial" w:cs="Arial"/>
        </w:rPr>
      </w:pPr>
      <w:r w:rsidRPr="000A3A78">
        <w:rPr>
          <w:rFonts w:ascii="Arial" w:hAnsi="Arial" w:cs="Arial"/>
          <w:color w:val="000000"/>
        </w:rPr>
        <w:t>El mencionado pagaré debe ser firmado en blanco, con el objeto que en el caso de incumplimiento</w:t>
      </w:r>
      <w:r w:rsidR="00033548" w:rsidRPr="00033548">
        <w:rPr>
          <w:rFonts w:ascii="Arial" w:hAnsi="Arial" w:cs="Arial"/>
          <w:color w:val="FF0000"/>
        </w:rPr>
        <w:t>,</w:t>
      </w:r>
      <w:r w:rsidRPr="000A3A78">
        <w:rPr>
          <w:rFonts w:ascii="Arial" w:hAnsi="Arial" w:cs="Arial"/>
          <w:color w:val="000000"/>
        </w:rPr>
        <w:t xml:space="preserve"> y agotadas otras  medidas, CONICYT pueda llenar la fecha de vencimiento y la cantidad actualizada de la deuda, la que dice relación con la etapa del incumplimiento y los eventuales reintegros y rendiciones que pueda haber efectuado el(la) Investigador(a) Responsable. De otro modo, CONICYT debiera haber registrado en el  documento el monto total de los recursos correspondiente al Investigador</w:t>
      </w:r>
      <w:r w:rsidR="00033548">
        <w:rPr>
          <w:rFonts w:ascii="Arial" w:hAnsi="Arial" w:cs="Arial"/>
          <w:color w:val="000000"/>
        </w:rPr>
        <w:t xml:space="preserve">, </w:t>
      </w:r>
      <w:r w:rsidR="00033548" w:rsidRPr="00C22334">
        <w:rPr>
          <w:rFonts w:ascii="Arial" w:hAnsi="Arial" w:cs="Arial"/>
          <w:color w:val="000000" w:themeColor="text1"/>
        </w:rPr>
        <w:t>acorde a lo</w:t>
      </w:r>
      <w:r w:rsidRPr="00C22334">
        <w:rPr>
          <w:rFonts w:ascii="Arial" w:hAnsi="Arial" w:cs="Arial"/>
          <w:color w:val="000000" w:themeColor="text1"/>
        </w:rPr>
        <w:t xml:space="preserve"> </w:t>
      </w:r>
      <w:r w:rsidRPr="000A3A78">
        <w:rPr>
          <w:rFonts w:ascii="Arial" w:hAnsi="Arial" w:cs="Arial"/>
          <w:color w:val="000000"/>
        </w:rPr>
        <w:t>indicad</w:t>
      </w:r>
      <w:r w:rsidR="000A3A78" w:rsidRPr="000A3A78">
        <w:rPr>
          <w:rFonts w:ascii="Arial" w:hAnsi="Arial" w:cs="Arial"/>
          <w:color w:val="000000"/>
        </w:rPr>
        <w:t>o</w:t>
      </w:r>
      <w:r w:rsidRPr="000A3A78">
        <w:rPr>
          <w:rFonts w:ascii="Arial" w:hAnsi="Arial" w:cs="Arial"/>
          <w:color w:val="000000"/>
        </w:rPr>
        <w:t xml:space="preserve"> en el convenio respectivo. </w:t>
      </w:r>
      <w:r w:rsidRPr="000A3A78">
        <w:rPr>
          <w:rFonts w:ascii="Arial" w:hAnsi="Arial" w:cs="Arial"/>
        </w:rPr>
        <w:t xml:space="preserve">Es por ello que, para tranquilidad de los investigadores, a cada pagaré se le agregará una hoja que indicará lo siguiente: </w:t>
      </w:r>
    </w:p>
    <w:p w14:paraId="3480A989" w14:textId="77777777" w:rsidR="00216F74" w:rsidRPr="000A3A78" w:rsidRDefault="00216F74" w:rsidP="00216F74">
      <w:pPr>
        <w:jc w:val="both"/>
        <w:rPr>
          <w:rFonts w:ascii="Arial" w:hAnsi="Arial" w:cs="Arial"/>
        </w:rPr>
      </w:pPr>
    </w:p>
    <w:p w14:paraId="46F4BC6B" w14:textId="77777777" w:rsidR="00216F74" w:rsidRPr="000A3A78" w:rsidRDefault="00216F74" w:rsidP="00216F74">
      <w:pPr>
        <w:jc w:val="both"/>
        <w:rPr>
          <w:rFonts w:ascii="Arial" w:hAnsi="Arial" w:cs="Arial"/>
        </w:rPr>
      </w:pPr>
      <w:r w:rsidRPr="000A3A78">
        <w:rPr>
          <w:rFonts w:ascii="Arial" w:hAnsi="Arial" w:cs="Arial"/>
        </w:rPr>
        <w:t xml:space="preserve">Este pagaré sólo puede llenarse por un monto equivalente a los recursos que el Investigador Responsable ha recibido en relación con el proyecto correspondiente y que no sean rendidos adecuadamente. </w:t>
      </w:r>
    </w:p>
    <w:p w14:paraId="67A1683A"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36286112" w14:textId="7F1B9BFD" w:rsidR="00216F74" w:rsidRDefault="00216F74" w:rsidP="00216F74">
      <w:pPr>
        <w:jc w:val="both"/>
        <w:rPr>
          <w:rFonts w:ascii="Arial" w:hAnsi="Arial" w:cs="Arial"/>
          <w:color w:val="000000"/>
        </w:rPr>
      </w:pPr>
      <w:r w:rsidRPr="000A3A78">
        <w:rPr>
          <w:rFonts w:ascii="Arial" w:hAnsi="Arial" w:cs="Arial"/>
          <w:color w:val="000000"/>
        </w:rPr>
        <w:t>CONICYT no puede cobrar más allá de esa cifra pues, si se llenare en contravención a las instrucciones, el</w:t>
      </w:r>
      <w:r w:rsidR="00033548">
        <w:rPr>
          <w:rFonts w:ascii="Arial" w:hAnsi="Arial" w:cs="Arial"/>
          <w:color w:val="000000"/>
        </w:rPr>
        <w:t xml:space="preserve"> </w:t>
      </w:r>
      <w:r w:rsidR="00033548" w:rsidRPr="00C22334">
        <w:rPr>
          <w:rFonts w:ascii="Arial" w:hAnsi="Arial" w:cs="Arial"/>
          <w:color w:val="000000" w:themeColor="text1"/>
        </w:rPr>
        <w:t xml:space="preserve">(la) </w:t>
      </w:r>
      <w:r w:rsidR="00033548">
        <w:rPr>
          <w:rFonts w:ascii="Arial" w:hAnsi="Arial" w:cs="Arial"/>
          <w:color w:val="000000"/>
        </w:rPr>
        <w:t>investigador(a)</w:t>
      </w:r>
      <w:r w:rsidRPr="000A3A78">
        <w:rPr>
          <w:rFonts w:ascii="Arial" w:hAnsi="Arial" w:cs="Arial"/>
          <w:color w:val="000000"/>
        </w:rPr>
        <w:t xml:space="preserve"> podrá eximirse de su pago proban</w:t>
      </w:r>
      <w:r w:rsidR="00033548">
        <w:rPr>
          <w:rFonts w:ascii="Arial" w:hAnsi="Arial" w:cs="Arial"/>
          <w:color w:val="000000"/>
        </w:rPr>
        <w:t>do tal circunstancia, todo</w:t>
      </w:r>
      <w:r w:rsidRPr="000A3A78">
        <w:rPr>
          <w:rFonts w:ascii="Arial" w:hAnsi="Arial" w:cs="Arial"/>
          <w:color w:val="000000"/>
        </w:rPr>
        <w:t xml:space="preserve"> sin perjuicio de las sanciones penales que corresponderían a quienes ejecuten el pagaré.</w:t>
      </w:r>
    </w:p>
    <w:p w14:paraId="3084F38A" w14:textId="25C6C07D" w:rsidR="00161A4A" w:rsidRDefault="009176C1" w:rsidP="00216F74">
      <w:pPr>
        <w:jc w:val="both"/>
        <w:rPr>
          <w:rFonts w:ascii="Arial" w:hAnsi="Arial" w:cs="Arial"/>
          <w:color w:val="000000"/>
        </w:rPr>
      </w:pPr>
      <w:r>
        <w:rPr>
          <w:rFonts w:ascii="Arial" w:hAnsi="Arial" w:cs="Arial"/>
          <w:color w:val="000000"/>
        </w:rPr>
        <w:br/>
        <w:t>Está información también aplica a los Concursos Postdoctorado 2016 e Iniciacición 2015.</w:t>
      </w:r>
    </w:p>
    <w:p w14:paraId="7943CEC4" w14:textId="77777777" w:rsidR="009176C1" w:rsidRDefault="009176C1" w:rsidP="00216F74">
      <w:pPr>
        <w:jc w:val="both"/>
        <w:rPr>
          <w:rFonts w:ascii="Arial" w:hAnsi="Arial" w:cs="Arial"/>
          <w:color w:val="000000"/>
        </w:rPr>
      </w:pPr>
    </w:p>
    <w:p w14:paraId="24ABAD82" w14:textId="2299A4D9" w:rsidR="00161A4A" w:rsidRPr="00033548" w:rsidRDefault="00033548" w:rsidP="00033548">
      <w:pPr>
        <w:widowControl w:val="0"/>
        <w:autoSpaceDE w:val="0"/>
        <w:autoSpaceDN w:val="0"/>
        <w:adjustRightInd w:val="0"/>
        <w:jc w:val="both"/>
        <w:rPr>
          <w:rFonts w:ascii="Arial" w:hAnsi="Arial" w:cs="Arial"/>
          <w:color w:val="000000"/>
        </w:rPr>
      </w:pPr>
      <w:r w:rsidRPr="00033548">
        <w:rPr>
          <w:rFonts w:ascii="Arial" w:hAnsi="Arial" w:cs="Arial"/>
          <w:color w:val="000000"/>
        </w:rPr>
        <w:t>Esperando con esta gestión</w:t>
      </w:r>
      <w:r w:rsidR="00161A4A" w:rsidRPr="00033548">
        <w:rPr>
          <w:rFonts w:ascii="Arial" w:hAnsi="Arial" w:cs="Arial"/>
          <w:color w:val="000000"/>
        </w:rPr>
        <w:t xml:space="preserve"> contribuir a una mejor comprensión del </w:t>
      </w:r>
      <w:r w:rsidRPr="00033548">
        <w:rPr>
          <w:rFonts w:ascii="Arial" w:hAnsi="Arial" w:cs="Arial"/>
          <w:color w:val="000000"/>
        </w:rPr>
        <w:t>propósito de este</w:t>
      </w:r>
      <w:r w:rsidR="00161A4A" w:rsidRPr="00033548">
        <w:rPr>
          <w:rFonts w:ascii="Arial" w:hAnsi="Arial" w:cs="Arial"/>
          <w:color w:val="000000"/>
        </w:rPr>
        <w:t xml:space="preserve"> pagaré, así como</w:t>
      </w:r>
      <w:bookmarkStart w:id="0" w:name="_GoBack"/>
      <w:bookmarkEnd w:id="0"/>
      <w:r w:rsidR="00161A4A" w:rsidRPr="00033548">
        <w:rPr>
          <w:rFonts w:ascii="Arial" w:hAnsi="Arial" w:cs="Arial"/>
          <w:color w:val="000000"/>
        </w:rPr>
        <w:t xml:space="preserve"> a entregarle la certeza de su adecuado</w:t>
      </w:r>
      <w:r w:rsidRPr="00033548">
        <w:rPr>
          <w:rFonts w:ascii="Arial" w:hAnsi="Arial" w:cs="Arial"/>
          <w:color w:val="000000"/>
        </w:rPr>
        <w:t xml:space="preserve"> uso</w:t>
      </w:r>
      <w:r w:rsidR="00161A4A" w:rsidRPr="00033548">
        <w:rPr>
          <w:rFonts w:ascii="Arial" w:hAnsi="Arial" w:cs="Arial"/>
          <w:color w:val="000000"/>
        </w:rPr>
        <w:t>, le saluda cordialmente,</w:t>
      </w:r>
    </w:p>
    <w:p w14:paraId="692C1496" w14:textId="77777777" w:rsidR="00161A4A" w:rsidRDefault="00161A4A" w:rsidP="00161A4A">
      <w:pPr>
        <w:widowControl w:val="0"/>
        <w:autoSpaceDE w:val="0"/>
        <w:autoSpaceDN w:val="0"/>
        <w:adjustRightInd w:val="0"/>
        <w:rPr>
          <w:rFonts w:ascii="Calibri" w:eastAsiaTheme="minorHAnsi" w:hAnsi="Calibri" w:cs="Calibri"/>
          <w:sz w:val="28"/>
          <w:szCs w:val="28"/>
          <w:lang w:val="es-ES_tradnl" w:eastAsia="en-US"/>
        </w:rPr>
      </w:pPr>
    </w:p>
    <w:p w14:paraId="5B1EBFD1" w14:textId="2D7589F2" w:rsidR="00161A4A" w:rsidRPr="000A3A78" w:rsidRDefault="00161A4A" w:rsidP="00161A4A">
      <w:pPr>
        <w:jc w:val="both"/>
        <w:rPr>
          <w:rFonts w:ascii="Arial" w:hAnsi="Arial" w:cs="Arial"/>
        </w:rPr>
      </w:pPr>
      <w:r>
        <w:rPr>
          <w:rFonts w:ascii="Calibri" w:eastAsiaTheme="minorHAnsi" w:hAnsi="Calibri" w:cs="Calibri"/>
          <w:sz w:val="28"/>
          <w:szCs w:val="28"/>
          <w:lang w:val="es-ES_tradnl" w:eastAsia="en-US"/>
        </w:rPr>
        <w:lastRenderedPageBreak/>
        <w:t xml:space="preserve">Programa </w:t>
      </w:r>
      <w:proofErr w:type="spellStart"/>
      <w:r>
        <w:rPr>
          <w:rFonts w:ascii="Calibri" w:eastAsiaTheme="minorHAnsi" w:hAnsi="Calibri" w:cs="Calibri"/>
          <w:sz w:val="28"/>
          <w:szCs w:val="28"/>
          <w:lang w:val="es-ES_tradnl" w:eastAsia="en-US"/>
        </w:rPr>
        <w:t>Fondecyt</w:t>
      </w:r>
      <w:proofErr w:type="spellEnd"/>
    </w:p>
    <w:p w14:paraId="78B90BBA" w14:textId="77777777" w:rsidR="00161A4A" w:rsidRPr="000A3A78" w:rsidRDefault="00161A4A" w:rsidP="00216F74">
      <w:pPr>
        <w:jc w:val="both"/>
        <w:rPr>
          <w:rFonts w:ascii="Arial" w:hAnsi="Arial" w:cs="Arial"/>
          <w:color w:val="000000"/>
        </w:rPr>
      </w:pPr>
    </w:p>
    <w:p w14:paraId="4620CDE0" w14:textId="77777777" w:rsidR="00216F74" w:rsidRPr="000A3A78" w:rsidRDefault="00216F74" w:rsidP="00216F74">
      <w:pPr>
        <w:jc w:val="both"/>
        <w:rPr>
          <w:rFonts w:ascii="Arial" w:hAnsi="Arial" w:cs="Arial"/>
          <w:color w:val="000000"/>
        </w:rPr>
      </w:pPr>
      <w:r w:rsidRPr="000A3A78">
        <w:rPr>
          <w:rFonts w:ascii="Arial" w:hAnsi="Arial" w:cs="Arial"/>
          <w:color w:val="1F497D"/>
        </w:rPr>
        <w:t>  </w:t>
      </w:r>
    </w:p>
    <w:p w14:paraId="7386D826" w14:textId="77777777" w:rsidR="00C26A4F" w:rsidRPr="000A3A78" w:rsidRDefault="009176C1">
      <w:pPr>
        <w:rPr>
          <w:rFonts w:ascii="Arial" w:hAnsi="Arial" w:cs="Arial"/>
        </w:rPr>
      </w:pPr>
    </w:p>
    <w:sectPr w:rsidR="00C26A4F" w:rsidRPr="000A3A78" w:rsidSect="00C26A4F">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74"/>
    <w:rsid w:val="00033548"/>
    <w:rsid w:val="000A3A78"/>
    <w:rsid w:val="00161A4A"/>
    <w:rsid w:val="00216F74"/>
    <w:rsid w:val="002C1287"/>
    <w:rsid w:val="00687A62"/>
    <w:rsid w:val="009176C1"/>
    <w:rsid w:val="00C22334"/>
    <w:rsid w:val="00D84E39"/>
    <w:rsid w:val="00FC338D"/>
  </w:rsids>
  <m:mathPr>
    <m:mathFont m:val="Cambria Math"/>
    <m:brkBin m:val="before"/>
    <m:brkBinSub m:val="--"/>
    <m:smallFrac/>
    <m:dispDef/>
    <m:lMargin m:val="0"/>
    <m:rMargin m:val="0"/>
    <m:defJc m:val="centerGroup"/>
    <m:wrapRight/>
    <m:intLim m:val="subSup"/>
    <m:naryLim m:val="subSup"/>
  </m:mathPr>
  <w:themeFontLang w:val="es-ES_trad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84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F74"/>
    <w:pPr>
      <w:spacing w:after="0"/>
    </w:pPr>
    <w:rPr>
      <w:rFonts w:ascii="Times New Roman" w:eastAsia="Calibri" w:hAnsi="Times New Roman"/>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rsid w:val="00216F74"/>
    <w:rPr>
      <w:sz w:val="20"/>
      <w:szCs w:val="20"/>
    </w:rPr>
  </w:style>
  <w:style w:type="character" w:customStyle="1" w:styleId="TextocomentarioCar">
    <w:name w:val="Texto comentario Car"/>
    <w:basedOn w:val="Fuentedeprrafopredeter"/>
    <w:link w:val="Textocomentario"/>
    <w:uiPriority w:val="99"/>
    <w:rsid w:val="00216F74"/>
    <w:rPr>
      <w:rFonts w:ascii="Times New Roman" w:eastAsia="Calibri" w:hAnsi="Times New Roman"/>
      <w:sz w:val="20"/>
      <w:szCs w:val="20"/>
      <w:lang w:val="es-CL" w:eastAsia="es-CL"/>
    </w:rPr>
  </w:style>
  <w:style w:type="character" w:styleId="Refdecomentario">
    <w:name w:val="annotation reference"/>
    <w:basedOn w:val="Fuentedeprrafopredeter"/>
    <w:uiPriority w:val="99"/>
    <w:rsid w:val="00216F74"/>
    <w:rPr>
      <w:sz w:val="16"/>
    </w:rPr>
  </w:style>
  <w:style w:type="paragraph" w:styleId="Textodeglobo">
    <w:name w:val="Balloon Text"/>
    <w:basedOn w:val="Normal"/>
    <w:link w:val="TextodegloboCar"/>
    <w:uiPriority w:val="99"/>
    <w:semiHidden/>
    <w:unhideWhenUsed/>
    <w:rsid w:val="00216F7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16F74"/>
    <w:rPr>
      <w:rFonts w:ascii="Lucida Grande" w:eastAsia="Calibri" w:hAnsi="Lucida Grande"/>
      <w:sz w:val="18"/>
      <w:szCs w:val="18"/>
      <w:lang w:val="es-CL" w:eastAsia="es-CL"/>
    </w:rPr>
  </w:style>
  <w:style w:type="paragraph" w:styleId="Asuntodelcomentario">
    <w:name w:val="annotation subject"/>
    <w:basedOn w:val="Textocomentario"/>
    <w:next w:val="Textocomentario"/>
    <w:link w:val="AsuntodelcomentarioCar"/>
    <w:uiPriority w:val="99"/>
    <w:semiHidden/>
    <w:unhideWhenUsed/>
    <w:rsid w:val="00161A4A"/>
    <w:rPr>
      <w:b/>
      <w:bCs/>
    </w:rPr>
  </w:style>
  <w:style w:type="character" w:customStyle="1" w:styleId="AsuntodelcomentarioCar">
    <w:name w:val="Asunto del comentario Car"/>
    <w:basedOn w:val="TextocomentarioCar"/>
    <w:link w:val="Asuntodelcomentario"/>
    <w:uiPriority w:val="99"/>
    <w:semiHidden/>
    <w:rsid w:val="00161A4A"/>
    <w:rPr>
      <w:rFonts w:ascii="Times New Roman" w:eastAsia="Calibri" w:hAnsi="Times New Roman"/>
      <w:b/>
      <w:bCs/>
      <w:sz w:val="20"/>
      <w:szCs w:val="20"/>
      <w:lang w:val="es-CL"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F74"/>
    <w:pPr>
      <w:spacing w:after="0"/>
    </w:pPr>
    <w:rPr>
      <w:rFonts w:ascii="Times New Roman" w:eastAsia="Calibri" w:hAnsi="Times New Roman"/>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rsid w:val="00216F74"/>
    <w:rPr>
      <w:sz w:val="20"/>
      <w:szCs w:val="20"/>
    </w:rPr>
  </w:style>
  <w:style w:type="character" w:customStyle="1" w:styleId="TextocomentarioCar">
    <w:name w:val="Texto comentario Car"/>
    <w:basedOn w:val="Fuentedeprrafopredeter"/>
    <w:link w:val="Textocomentario"/>
    <w:uiPriority w:val="99"/>
    <w:rsid w:val="00216F74"/>
    <w:rPr>
      <w:rFonts w:ascii="Times New Roman" w:eastAsia="Calibri" w:hAnsi="Times New Roman"/>
      <w:sz w:val="20"/>
      <w:szCs w:val="20"/>
      <w:lang w:val="es-CL" w:eastAsia="es-CL"/>
    </w:rPr>
  </w:style>
  <w:style w:type="character" w:styleId="Refdecomentario">
    <w:name w:val="annotation reference"/>
    <w:basedOn w:val="Fuentedeprrafopredeter"/>
    <w:uiPriority w:val="99"/>
    <w:rsid w:val="00216F74"/>
    <w:rPr>
      <w:sz w:val="16"/>
    </w:rPr>
  </w:style>
  <w:style w:type="paragraph" w:styleId="Textodeglobo">
    <w:name w:val="Balloon Text"/>
    <w:basedOn w:val="Normal"/>
    <w:link w:val="TextodegloboCar"/>
    <w:uiPriority w:val="99"/>
    <w:semiHidden/>
    <w:unhideWhenUsed/>
    <w:rsid w:val="00216F7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16F74"/>
    <w:rPr>
      <w:rFonts w:ascii="Lucida Grande" w:eastAsia="Calibri" w:hAnsi="Lucida Grande"/>
      <w:sz w:val="18"/>
      <w:szCs w:val="18"/>
      <w:lang w:val="es-CL" w:eastAsia="es-CL"/>
    </w:rPr>
  </w:style>
  <w:style w:type="paragraph" w:styleId="Asuntodelcomentario">
    <w:name w:val="annotation subject"/>
    <w:basedOn w:val="Textocomentario"/>
    <w:next w:val="Textocomentario"/>
    <w:link w:val="AsuntodelcomentarioCar"/>
    <w:uiPriority w:val="99"/>
    <w:semiHidden/>
    <w:unhideWhenUsed/>
    <w:rsid w:val="00161A4A"/>
    <w:rPr>
      <w:b/>
      <w:bCs/>
    </w:rPr>
  </w:style>
  <w:style w:type="character" w:customStyle="1" w:styleId="AsuntodelcomentarioCar">
    <w:name w:val="Asunto del comentario Car"/>
    <w:basedOn w:val="TextocomentarioCar"/>
    <w:link w:val="Asuntodelcomentario"/>
    <w:uiPriority w:val="99"/>
    <w:semiHidden/>
    <w:rsid w:val="00161A4A"/>
    <w:rPr>
      <w:rFonts w:ascii="Times New Roman" w:eastAsia="Calibri" w:hAnsi="Times New Roman"/>
      <w:b/>
      <w:bCs/>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99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2073</Characters>
  <Application>Microsoft Macintosh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Usach</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cp:lastModifiedBy>Comunicaciones</cp:lastModifiedBy>
  <cp:revision>2</cp:revision>
  <dcterms:created xsi:type="dcterms:W3CDTF">2016-05-05T20:24:00Z</dcterms:created>
  <dcterms:modified xsi:type="dcterms:W3CDTF">2016-05-05T20:24:00Z</dcterms:modified>
</cp:coreProperties>
</file>