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AB" w:rsidRPr="00991934" w:rsidRDefault="00BD42AB" w:rsidP="00BD42AB">
      <w:pPr>
        <w:jc w:val="center"/>
        <w:rPr>
          <w:rFonts w:ascii="Calibri" w:hAnsi="Calibri"/>
          <w:b/>
          <w:szCs w:val="24"/>
        </w:rPr>
      </w:pPr>
      <w:r w:rsidRPr="00991934">
        <w:rPr>
          <w:rFonts w:ascii="Calibri" w:hAnsi="Calibri"/>
          <w:b/>
          <w:szCs w:val="24"/>
        </w:rPr>
        <w:t>COMPROMISO INSTITUCION ASOCIADA</w:t>
      </w:r>
      <w:r w:rsidR="00C77A6C">
        <w:rPr>
          <w:rFonts w:ascii="Calibri" w:hAnsi="Calibri"/>
          <w:b/>
          <w:szCs w:val="24"/>
        </w:rPr>
        <w:t xml:space="preserve"> </w:t>
      </w:r>
    </w:p>
    <w:p w:rsidR="00BD42AB" w:rsidRPr="00BD42AB" w:rsidRDefault="00BD42AB" w:rsidP="00BD42AB">
      <w:pPr>
        <w:jc w:val="center"/>
        <w:rPr>
          <w:rFonts w:ascii="Calibri" w:hAnsi="Calibri"/>
          <w:i/>
          <w:sz w:val="22"/>
          <w:szCs w:val="22"/>
        </w:rPr>
      </w:pPr>
      <w:bookmarkStart w:id="0" w:name="_GoBack"/>
      <w:bookmarkEnd w:id="0"/>
    </w:p>
    <w:p w:rsidR="00BD42AB" w:rsidRPr="00BD42AB" w:rsidRDefault="00BD42AB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BD42AB" w:rsidRDefault="00BD42AB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D42AB">
        <w:rPr>
          <w:rFonts w:ascii="Calibri" w:hAnsi="Calibri"/>
          <w:sz w:val="22"/>
          <w:szCs w:val="22"/>
        </w:rPr>
        <w:t>El</w:t>
      </w:r>
      <w:r w:rsidR="007A5918">
        <w:rPr>
          <w:rFonts w:ascii="Calibri" w:hAnsi="Calibri"/>
          <w:sz w:val="22"/>
          <w:szCs w:val="22"/>
        </w:rPr>
        <w:t xml:space="preserve">/La </w:t>
      </w:r>
      <w:r w:rsidRPr="00BD42AB">
        <w:rPr>
          <w:rFonts w:ascii="Calibri" w:hAnsi="Calibri"/>
          <w:sz w:val="22"/>
          <w:szCs w:val="22"/>
        </w:rPr>
        <w:t xml:space="preserve"> señor/a (</w:t>
      </w:r>
      <w:r w:rsidR="003D0875">
        <w:rPr>
          <w:rFonts w:ascii="Calibri" w:hAnsi="Calibri"/>
          <w:sz w:val="22"/>
          <w:szCs w:val="22"/>
        </w:rPr>
        <w:t xml:space="preserve">COLOCAR </w:t>
      </w:r>
      <w:r w:rsidR="007A5918">
        <w:rPr>
          <w:rFonts w:ascii="Calibri" w:hAnsi="Calibri"/>
          <w:sz w:val="22"/>
          <w:szCs w:val="22"/>
        </w:rPr>
        <w:t>NOMBRE</w:t>
      </w:r>
      <w:r w:rsidR="00991934">
        <w:rPr>
          <w:rFonts w:ascii="Calibri" w:hAnsi="Calibri"/>
          <w:sz w:val="22"/>
          <w:szCs w:val="22"/>
        </w:rPr>
        <w:t>S</w:t>
      </w:r>
      <w:r w:rsidR="007A5918">
        <w:rPr>
          <w:rFonts w:ascii="Calibri" w:hAnsi="Calibri"/>
          <w:sz w:val="22"/>
          <w:szCs w:val="22"/>
        </w:rPr>
        <w:t xml:space="preserve"> Y APELLIDOS DEL REPRESENTANTE LEGAL), </w:t>
      </w:r>
      <w:r w:rsidRPr="00BD42AB">
        <w:rPr>
          <w:rFonts w:ascii="Calibri" w:hAnsi="Calibri"/>
          <w:sz w:val="22"/>
          <w:szCs w:val="22"/>
        </w:rPr>
        <w:t>(</w:t>
      </w:r>
      <w:r w:rsidR="003D0875">
        <w:rPr>
          <w:rFonts w:ascii="Calibri" w:hAnsi="Calibri"/>
          <w:sz w:val="22"/>
          <w:szCs w:val="22"/>
        </w:rPr>
        <w:t xml:space="preserve">COLOCAR </w:t>
      </w:r>
      <w:r w:rsidR="007A5918">
        <w:rPr>
          <w:rFonts w:ascii="Calibri" w:hAnsi="Calibri"/>
          <w:sz w:val="22"/>
          <w:szCs w:val="22"/>
        </w:rPr>
        <w:t>CARGO</w:t>
      </w:r>
      <w:r w:rsidR="00E45C1F">
        <w:rPr>
          <w:rFonts w:ascii="Calibri" w:hAnsi="Calibri"/>
          <w:sz w:val="22"/>
          <w:szCs w:val="22"/>
        </w:rPr>
        <w:t xml:space="preserve"> DENTRO DE LA ORGANIZACIÓN) </w:t>
      </w:r>
      <w:r w:rsidR="00DE61A4">
        <w:rPr>
          <w:rFonts w:ascii="Calibri" w:hAnsi="Calibri"/>
          <w:sz w:val="22"/>
          <w:szCs w:val="22"/>
        </w:rPr>
        <w:t xml:space="preserve">de el/la </w:t>
      </w:r>
      <w:r w:rsidR="00E45C1F">
        <w:rPr>
          <w:rFonts w:ascii="Calibri" w:hAnsi="Calibri"/>
          <w:sz w:val="22"/>
          <w:szCs w:val="22"/>
        </w:rPr>
        <w:t>(</w:t>
      </w:r>
      <w:r w:rsidR="003D0875">
        <w:rPr>
          <w:rFonts w:ascii="Calibri" w:hAnsi="Calibri"/>
          <w:sz w:val="22"/>
          <w:szCs w:val="22"/>
        </w:rPr>
        <w:t xml:space="preserve">Colocar </w:t>
      </w:r>
      <w:r w:rsidR="00E45C1F">
        <w:rPr>
          <w:rFonts w:ascii="Calibri" w:hAnsi="Calibri"/>
          <w:sz w:val="22"/>
          <w:szCs w:val="22"/>
        </w:rPr>
        <w:t>NOMBRE COMPLETO DE LA ORGANIZACIÓN)</w:t>
      </w:r>
      <w:r w:rsidRPr="00BD42AB">
        <w:rPr>
          <w:rFonts w:ascii="Calibri" w:hAnsi="Calibri"/>
          <w:sz w:val="22"/>
          <w:szCs w:val="22"/>
        </w:rPr>
        <w:t>, certifica mediante la presente</w:t>
      </w:r>
      <w:r w:rsidR="007A5918">
        <w:rPr>
          <w:rFonts w:ascii="Calibri" w:hAnsi="Calibri"/>
          <w:sz w:val="22"/>
          <w:szCs w:val="22"/>
        </w:rPr>
        <w:t>,</w:t>
      </w:r>
      <w:r w:rsidRPr="00BD42AB">
        <w:rPr>
          <w:rFonts w:ascii="Calibri" w:hAnsi="Calibri"/>
          <w:sz w:val="22"/>
          <w:szCs w:val="22"/>
        </w:rPr>
        <w:t xml:space="preserve"> que conoce las </w:t>
      </w:r>
      <w:r w:rsidR="007A5918">
        <w:rPr>
          <w:rFonts w:ascii="Calibri" w:hAnsi="Calibri"/>
          <w:sz w:val="22"/>
          <w:szCs w:val="22"/>
        </w:rPr>
        <w:t xml:space="preserve">Bases del </w:t>
      </w:r>
      <w:r w:rsidR="00C77A6C" w:rsidRPr="00C77A6C">
        <w:rPr>
          <w:rFonts w:ascii="Calibri" w:hAnsi="Calibri"/>
          <w:sz w:val="22"/>
          <w:szCs w:val="22"/>
        </w:rPr>
        <w:t xml:space="preserve">Segundo Concurso Nacional para </w:t>
      </w:r>
      <w:r w:rsidR="003D0875">
        <w:rPr>
          <w:rFonts w:ascii="Calibri" w:hAnsi="Calibri"/>
          <w:sz w:val="22"/>
          <w:szCs w:val="22"/>
        </w:rPr>
        <w:t>C</w:t>
      </w:r>
      <w:r w:rsidR="00C77A6C" w:rsidRPr="00C77A6C">
        <w:rPr>
          <w:rFonts w:ascii="Calibri" w:hAnsi="Calibri"/>
          <w:sz w:val="22"/>
          <w:szCs w:val="22"/>
        </w:rPr>
        <w:t>entros de Investigación en Educación  año 2016</w:t>
      </w:r>
      <w:r w:rsidRPr="00BD42A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BD42AB">
        <w:rPr>
          <w:rFonts w:ascii="Calibri" w:hAnsi="Calibri"/>
          <w:sz w:val="22"/>
          <w:szCs w:val="22"/>
        </w:rPr>
        <w:t xml:space="preserve">al cual postula en calidad de </w:t>
      </w:r>
      <w:r w:rsidR="003D0875">
        <w:rPr>
          <w:rFonts w:ascii="Calibri" w:hAnsi="Calibri"/>
          <w:sz w:val="22"/>
          <w:szCs w:val="22"/>
        </w:rPr>
        <w:t xml:space="preserve">Institución Asociada </w:t>
      </w:r>
      <w:r w:rsidRPr="00BD42AB">
        <w:rPr>
          <w:rFonts w:ascii="Calibri" w:hAnsi="Calibri"/>
          <w:sz w:val="22"/>
          <w:szCs w:val="22"/>
        </w:rPr>
        <w:t xml:space="preserve">al </w:t>
      </w:r>
      <w:r w:rsidR="00C77A6C">
        <w:rPr>
          <w:rFonts w:ascii="Calibri" w:hAnsi="Calibri"/>
          <w:sz w:val="22"/>
          <w:szCs w:val="22"/>
        </w:rPr>
        <w:t>Centr</w:t>
      </w:r>
      <w:r w:rsidRPr="00BD42AB">
        <w:rPr>
          <w:rFonts w:ascii="Calibri" w:hAnsi="Calibri"/>
          <w:sz w:val="22"/>
          <w:szCs w:val="22"/>
        </w:rPr>
        <w:t xml:space="preserve">o denominado </w:t>
      </w:r>
      <w:r w:rsidR="007A5918">
        <w:rPr>
          <w:rFonts w:ascii="Calibri" w:hAnsi="Calibri"/>
          <w:sz w:val="22"/>
          <w:szCs w:val="22"/>
        </w:rPr>
        <w:t>(</w:t>
      </w:r>
      <w:r w:rsidR="003D0875">
        <w:rPr>
          <w:rFonts w:ascii="Calibri" w:hAnsi="Calibri"/>
          <w:sz w:val="22"/>
          <w:szCs w:val="22"/>
        </w:rPr>
        <w:t xml:space="preserve">COLOCAR </w:t>
      </w:r>
      <w:r w:rsidR="007A5918">
        <w:rPr>
          <w:rFonts w:ascii="Calibri" w:hAnsi="Calibri"/>
          <w:sz w:val="22"/>
          <w:szCs w:val="22"/>
        </w:rPr>
        <w:t xml:space="preserve">NOMBRE DEL </w:t>
      </w:r>
      <w:r w:rsidR="00C77A6C">
        <w:rPr>
          <w:rFonts w:ascii="Calibri" w:hAnsi="Calibri"/>
          <w:sz w:val="22"/>
          <w:szCs w:val="22"/>
        </w:rPr>
        <w:t>CENTR</w:t>
      </w:r>
      <w:r w:rsidR="007A5918">
        <w:rPr>
          <w:rFonts w:ascii="Calibri" w:hAnsi="Calibri"/>
          <w:sz w:val="22"/>
          <w:szCs w:val="22"/>
        </w:rPr>
        <w:t>O)</w:t>
      </w:r>
      <w:r w:rsidRPr="00BD42AB">
        <w:rPr>
          <w:rFonts w:ascii="Calibri" w:hAnsi="Calibri"/>
          <w:sz w:val="22"/>
          <w:szCs w:val="22"/>
        </w:rPr>
        <w:t xml:space="preserve">, cuyo </w:t>
      </w:r>
      <w:r w:rsidR="007A5918">
        <w:rPr>
          <w:rFonts w:ascii="Calibri" w:hAnsi="Calibri"/>
          <w:sz w:val="22"/>
          <w:szCs w:val="22"/>
        </w:rPr>
        <w:t>Director</w:t>
      </w:r>
      <w:r w:rsidR="0044716A">
        <w:rPr>
          <w:rFonts w:ascii="Calibri" w:hAnsi="Calibri"/>
          <w:sz w:val="22"/>
          <w:szCs w:val="22"/>
        </w:rPr>
        <w:t>(</w:t>
      </w:r>
      <w:r w:rsidRPr="00BD42AB">
        <w:rPr>
          <w:rFonts w:ascii="Calibri" w:hAnsi="Calibri"/>
          <w:sz w:val="22"/>
          <w:szCs w:val="22"/>
        </w:rPr>
        <w:t>a</w:t>
      </w:r>
      <w:r w:rsidR="0044716A">
        <w:rPr>
          <w:rFonts w:ascii="Calibri" w:hAnsi="Calibri"/>
          <w:sz w:val="22"/>
          <w:szCs w:val="22"/>
        </w:rPr>
        <w:t>)</w:t>
      </w:r>
      <w:r w:rsidRPr="00BD42AB">
        <w:rPr>
          <w:rFonts w:ascii="Calibri" w:hAnsi="Calibri"/>
          <w:sz w:val="22"/>
          <w:szCs w:val="22"/>
        </w:rPr>
        <w:t xml:space="preserve"> es</w:t>
      </w:r>
      <w:r w:rsidR="007A5918">
        <w:rPr>
          <w:rFonts w:ascii="Calibri" w:hAnsi="Calibri"/>
          <w:sz w:val="22"/>
          <w:szCs w:val="22"/>
        </w:rPr>
        <w:t xml:space="preserve"> el</w:t>
      </w:r>
      <w:r w:rsidR="0044716A">
        <w:rPr>
          <w:rFonts w:ascii="Calibri" w:hAnsi="Calibri"/>
          <w:sz w:val="22"/>
          <w:szCs w:val="22"/>
        </w:rPr>
        <w:t>(</w:t>
      </w:r>
      <w:r w:rsidR="007A5918">
        <w:rPr>
          <w:rFonts w:ascii="Calibri" w:hAnsi="Calibri"/>
          <w:sz w:val="22"/>
          <w:szCs w:val="22"/>
        </w:rPr>
        <w:t>la</w:t>
      </w:r>
      <w:r w:rsidR="0044716A">
        <w:rPr>
          <w:rFonts w:ascii="Calibri" w:hAnsi="Calibri"/>
          <w:sz w:val="22"/>
          <w:szCs w:val="22"/>
        </w:rPr>
        <w:t>)</w:t>
      </w:r>
      <w:r w:rsidR="007A5918">
        <w:rPr>
          <w:rFonts w:ascii="Calibri" w:hAnsi="Calibri"/>
          <w:sz w:val="22"/>
          <w:szCs w:val="22"/>
        </w:rPr>
        <w:t xml:space="preserve"> Sr.</w:t>
      </w:r>
      <w:r w:rsidR="0044716A">
        <w:rPr>
          <w:rFonts w:ascii="Calibri" w:hAnsi="Calibri"/>
          <w:sz w:val="22"/>
          <w:szCs w:val="22"/>
        </w:rPr>
        <w:t>(Sra.)</w:t>
      </w:r>
      <w:r w:rsidR="007A5918">
        <w:rPr>
          <w:rFonts w:ascii="Calibri" w:hAnsi="Calibri"/>
          <w:sz w:val="22"/>
          <w:szCs w:val="22"/>
        </w:rPr>
        <w:t xml:space="preserve"> (</w:t>
      </w:r>
      <w:r w:rsidR="003D0875">
        <w:rPr>
          <w:rFonts w:ascii="Calibri" w:hAnsi="Calibri"/>
          <w:sz w:val="22"/>
          <w:szCs w:val="22"/>
        </w:rPr>
        <w:t xml:space="preserve">COLOCAR </w:t>
      </w:r>
      <w:r w:rsidR="007A5918">
        <w:rPr>
          <w:rFonts w:ascii="Calibri" w:hAnsi="Calibri"/>
          <w:sz w:val="22"/>
          <w:szCs w:val="22"/>
        </w:rPr>
        <w:t xml:space="preserve">NOMBRE Y APELLIDOS) </w:t>
      </w:r>
      <w:r w:rsidRPr="00BD42AB">
        <w:rPr>
          <w:rFonts w:ascii="Calibri" w:hAnsi="Calibri"/>
          <w:sz w:val="22"/>
          <w:szCs w:val="22"/>
        </w:rPr>
        <w:t xml:space="preserve">y </w:t>
      </w:r>
      <w:r w:rsidR="0044716A">
        <w:rPr>
          <w:rFonts w:ascii="Calibri" w:hAnsi="Calibri"/>
          <w:sz w:val="22"/>
          <w:szCs w:val="22"/>
        </w:rPr>
        <w:t xml:space="preserve">que </w:t>
      </w:r>
      <w:r w:rsidR="00655744">
        <w:rPr>
          <w:rFonts w:ascii="Calibri" w:hAnsi="Calibri"/>
          <w:sz w:val="22"/>
          <w:szCs w:val="22"/>
        </w:rPr>
        <w:t>compromete su apoyo a la realización del mismo en todo aquello indicado por bases de concurso y que apor</w:t>
      </w:r>
      <w:r w:rsidRPr="00BD42AB">
        <w:rPr>
          <w:rFonts w:ascii="Calibri" w:hAnsi="Calibri"/>
          <w:sz w:val="22"/>
          <w:szCs w:val="22"/>
        </w:rPr>
        <w:t>tará los recursos y facilidades declarados a continuación</w:t>
      </w:r>
      <w:r w:rsidR="007A5918">
        <w:rPr>
          <w:rFonts w:ascii="Calibri" w:hAnsi="Calibri"/>
          <w:sz w:val="22"/>
          <w:szCs w:val="22"/>
        </w:rPr>
        <w:t>:</w:t>
      </w:r>
    </w:p>
    <w:p w:rsidR="00606BCC" w:rsidRDefault="00606BCC" w:rsidP="00606BCC">
      <w:pPr>
        <w:spacing w:line="360" w:lineRule="auto"/>
        <w:jc w:val="both"/>
        <w:rPr>
          <w:rFonts w:ascii="Calibri" w:hAnsi="Calibri"/>
          <w:sz w:val="20"/>
        </w:rPr>
      </w:pPr>
    </w:p>
    <w:tbl>
      <w:tblPr>
        <w:tblW w:w="7949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1540"/>
        <w:gridCol w:w="1540"/>
      </w:tblGrid>
      <w:tr w:rsidR="00606BCC" w:rsidRPr="00C905E1" w:rsidTr="00957DE0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APORTE INSTITUCIÓN </w:t>
            </w:r>
            <w:r w:rsidR="00313889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ASOCIADA</w:t>
            </w: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 (en $)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Pecuniario</w:t>
            </w:r>
            <w:r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No Pecuniario</w:t>
            </w:r>
            <w:r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(2)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3D0875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A. HONORARIOS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Incentivos </w:t>
            </w:r>
            <w:r>
              <w:rPr>
                <w:rFonts w:ascii="Calibri" w:hAnsi="Calibri" w:cs="Arial"/>
                <w:color w:val="auto"/>
                <w:sz w:val="14"/>
                <w:szCs w:val="14"/>
              </w:rPr>
              <w:t xml:space="preserve">y Honorarios </w:t>
            </w:r>
            <w:r w:rsidR="0044716A">
              <w:rPr>
                <w:rFonts w:ascii="Calibri" w:hAnsi="Calibri" w:cs="Arial"/>
                <w:color w:val="auto"/>
                <w:sz w:val="14"/>
                <w:szCs w:val="14"/>
              </w:rPr>
              <w:t xml:space="preserve">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para </w:t>
            </w:r>
            <w:r w:rsidR="00BC1B8A">
              <w:rPr>
                <w:rFonts w:ascii="Calibri" w:hAnsi="Calibri" w:cs="Arial"/>
                <w:color w:val="auto"/>
                <w:sz w:val="14"/>
                <w:szCs w:val="14"/>
              </w:rPr>
              <w:t>I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nvestigadores, 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profesionales,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Asistentes de Investigación,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Tesistas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Postdoctorantes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, Personal Técnico y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>/o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 Personal Administrativo)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957DE0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B. COSTOS OPERACIONALES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Materiales y Suministros, Servicios de Consultoría, Servicios de Capacitación, Publicaciones y Suscripciones, Actividades de Difusión, Equipamiento menor y Accesorios, Seguros y Exámenes Médicos (personas), Pasajes y Viáticos)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BC1B8A">
        <w:trPr>
          <w:trHeight w:hRule="exact" w:val="655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957DE0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C. EQUIPAMIENTO E INFRAESTRUCTURA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Bienes y Equipos, Habilitación y Mejoramiento de Espacios y Reparación y mantención de equipos)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4947F1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D. GASTOS DE ADMINISTRACION INSTITUCIONAL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Gastos en Servicios Generales y Otros, Gastos en garantías, mantención cuentas bancarias, etc., Honorarios Personal Institucional Administrativo de Apoyo)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APORTE TOTAL INSTITUCIÓN </w:t>
            </w:r>
            <w:r w:rsidR="00313889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ASOCIADA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BC1B8A" w:rsidRDefault="00606BCC" w:rsidP="00957DE0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BC1B8A" w:rsidRDefault="00606BCC" w:rsidP="00957DE0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</w:tr>
    </w:tbl>
    <w:p w:rsidR="00C77A6C" w:rsidRPr="00256706" w:rsidRDefault="00C77A6C" w:rsidP="00C77A6C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>Corresponde a</w:t>
      </w:r>
      <w:r>
        <w:rPr>
          <w:rFonts w:ascii="Calibri" w:hAnsi="Calibri"/>
          <w:sz w:val="14"/>
          <w:szCs w:val="14"/>
        </w:rPr>
        <w:t xml:space="preserve"> aquel recurso </w:t>
      </w:r>
      <w:r w:rsidRPr="00256706">
        <w:rPr>
          <w:rFonts w:ascii="Calibri" w:hAnsi="Calibri"/>
          <w:sz w:val="14"/>
          <w:szCs w:val="14"/>
        </w:rPr>
        <w:t xml:space="preserve">monetario </w:t>
      </w:r>
      <w:r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la Institución </w:t>
      </w:r>
      <w:r w:rsidR="00EE4FB7">
        <w:rPr>
          <w:rFonts w:ascii="Calibri" w:hAnsi="Calibri"/>
          <w:sz w:val="14"/>
          <w:szCs w:val="14"/>
        </w:rPr>
        <w:t>Asociada</w:t>
      </w:r>
      <w:r>
        <w:rPr>
          <w:rFonts w:ascii="Calibri" w:hAnsi="Calibri"/>
          <w:sz w:val="14"/>
          <w:szCs w:val="14"/>
        </w:rPr>
        <w:t xml:space="preserve"> pone a </w:t>
      </w:r>
      <w:r w:rsidRPr="00256706">
        <w:rPr>
          <w:rFonts w:ascii="Calibri" w:hAnsi="Calibri"/>
          <w:sz w:val="14"/>
          <w:szCs w:val="14"/>
        </w:rPr>
        <w:t xml:space="preserve">disposición del equipo de </w:t>
      </w:r>
      <w:r>
        <w:rPr>
          <w:rFonts w:ascii="Calibri" w:hAnsi="Calibri"/>
          <w:sz w:val="14"/>
          <w:szCs w:val="14"/>
        </w:rPr>
        <w:t>Investigadores del P</w:t>
      </w:r>
      <w:r w:rsidRPr="00256706">
        <w:rPr>
          <w:rFonts w:ascii="Calibri" w:hAnsi="Calibri"/>
          <w:sz w:val="14"/>
          <w:szCs w:val="14"/>
        </w:rPr>
        <w:t xml:space="preserve">royecto </w:t>
      </w:r>
      <w:r>
        <w:rPr>
          <w:rFonts w:ascii="Calibri" w:hAnsi="Calibri"/>
          <w:sz w:val="14"/>
          <w:szCs w:val="14"/>
        </w:rPr>
        <w:t>del Centro</w:t>
      </w:r>
      <w:r w:rsidRPr="00256706">
        <w:rPr>
          <w:rFonts w:ascii="Calibri" w:hAnsi="Calibri"/>
          <w:sz w:val="14"/>
          <w:szCs w:val="14"/>
        </w:rPr>
        <w:t xml:space="preserve">, para </w:t>
      </w:r>
      <w:r>
        <w:rPr>
          <w:rFonts w:ascii="Calibri" w:hAnsi="Calibri"/>
          <w:sz w:val="14"/>
          <w:szCs w:val="14"/>
        </w:rPr>
        <w:t>que éste lleve a cabo las actividades comprometidas.</w:t>
      </w:r>
      <w:r w:rsidRPr="00256706"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 xml:space="preserve">En caso que el Centro resulte adjudicado, este </w:t>
      </w:r>
      <w:r w:rsidRPr="00256706">
        <w:rPr>
          <w:rFonts w:ascii="Calibri" w:hAnsi="Calibri"/>
          <w:sz w:val="14"/>
          <w:szCs w:val="14"/>
        </w:rPr>
        <w:t>aporte debe rendirse del mismo modo que el subsidio entregado por CONICYT.</w:t>
      </w:r>
      <w:r>
        <w:rPr>
          <w:rFonts w:ascii="Calibri" w:hAnsi="Calibri"/>
          <w:sz w:val="14"/>
          <w:szCs w:val="14"/>
        </w:rPr>
        <w:t xml:space="preserve"> </w:t>
      </w:r>
    </w:p>
    <w:p w:rsidR="00C77A6C" w:rsidRDefault="00C77A6C" w:rsidP="003D0875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 xml:space="preserve">Corresponde a aquel recurso no monetario </w:t>
      </w:r>
      <w:r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la Institución </w:t>
      </w:r>
      <w:r w:rsidR="00EE4FB7">
        <w:rPr>
          <w:rFonts w:ascii="Calibri" w:hAnsi="Calibri"/>
          <w:sz w:val="14"/>
          <w:szCs w:val="14"/>
        </w:rPr>
        <w:t>Asociada</w:t>
      </w:r>
      <w:r w:rsidRPr="00256706">
        <w:rPr>
          <w:rFonts w:ascii="Calibri" w:hAnsi="Calibri"/>
          <w:sz w:val="14"/>
          <w:szCs w:val="14"/>
        </w:rPr>
        <w:t xml:space="preserve"> pone a disposición del equipo de Investigadores del </w:t>
      </w:r>
      <w:r w:rsidR="003D0875">
        <w:rPr>
          <w:rFonts w:ascii="Calibri" w:hAnsi="Calibri"/>
          <w:sz w:val="14"/>
          <w:szCs w:val="14"/>
        </w:rPr>
        <w:t xml:space="preserve">Proyecto del </w:t>
      </w:r>
      <w:r>
        <w:rPr>
          <w:rFonts w:ascii="Calibri" w:hAnsi="Calibri"/>
          <w:sz w:val="14"/>
          <w:szCs w:val="14"/>
        </w:rPr>
        <w:t>Cen</w:t>
      </w:r>
      <w:r w:rsidRPr="003D0875">
        <w:rPr>
          <w:rFonts w:ascii="Calibri" w:hAnsi="Calibri"/>
          <w:sz w:val="14"/>
          <w:szCs w:val="14"/>
        </w:rPr>
        <w:t>tro para que éste lleve a cabo las actividades comprometidas. Dicho aporte debe valorizarse a precios de mercado o bien describirse en detalle.</w:t>
      </w:r>
    </w:p>
    <w:p w:rsidR="003D0875" w:rsidRPr="003D0875" w:rsidRDefault="003D0875" w:rsidP="003D0875">
      <w:pPr>
        <w:ind w:left="1065"/>
        <w:jc w:val="both"/>
        <w:rPr>
          <w:rFonts w:ascii="Calibri" w:hAnsi="Calibri"/>
          <w:sz w:val="14"/>
          <w:szCs w:val="14"/>
        </w:rPr>
      </w:pPr>
    </w:p>
    <w:p w:rsidR="00C77A6C" w:rsidRPr="00865C2B" w:rsidRDefault="00C77A6C" w:rsidP="00C77A6C">
      <w:pPr>
        <w:ind w:left="1065" w:hanging="356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Nota: Aquellas </w:t>
      </w:r>
      <w:r w:rsidRPr="00865C2B">
        <w:rPr>
          <w:rFonts w:ascii="Calibri" w:hAnsi="Calibri"/>
          <w:sz w:val="14"/>
          <w:szCs w:val="14"/>
        </w:rPr>
        <w:t>prestaciones, infraestructura y servicios que estén incluidas en est</w:t>
      </w:r>
      <w:r>
        <w:rPr>
          <w:rFonts w:ascii="Calibri" w:hAnsi="Calibri"/>
          <w:sz w:val="14"/>
          <w:szCs w:val="14"/>
        </w:rPr>
        <w:t xml:space="preserve">a carta, en tanto aportes de la Institución </w:t>
      </w:r>
      <w:r w:rsidR="00EE4FB7">
        <w:rPr>
          <w:rFonts w:ascii="Calibri" w:hAnsi="Calibri"/>
          <w:sz w:val="14"/>
          <w:szCs w:val="14"/>
        </w:rPr>
        <w:t>Asociada</w:t>
      </w:r>
      <w:r>
        <w:rPr>
          <w:rFonts w:ascii="Calibri" w:hAnsi="Calibri"/>
          <w:sz w:val="14"/>
          <w:szCs w:val="14"/>
        </w:rPr>
        <w:t xml:space="preserve">, </w:t>
      </w:r>
      <w:r w:rsidRPr="00865C2B">
        <w:rPr>
          <w:rFonts w:ascii="Calibri" w:hAnsi="Calibri"/>
          <w:sz w:val="14"/>
          <w:szCs w:val="14"/>
        </w:rPr>
        <w:t>no podrá</w:t>
      </w:r>
      <w:r>
        <w:rPr>
          <w:rFonts w:ascii="Calibri" w:hAnsi="Calibri"/>
          <w:sz w:val="14"/>
          <w:szCs w:val="14"/>
        </w:rPr>
        <w:t>n cargarse al presupuesto CONICYT.</w:t>
      </w:r>
    </w:p>
    <w:p w:rsidR="00606BCC" w:rsidRPr="00256706" w:rsidRDefault="00606BCC" w:rsidP="00774C77">
      <w:pPr>
        <w:ind w:left="1065"/>
        <w:jc w:val="both"/>
        <w:rPr>
          <w:rFonts w:ascii="Calibri" w:hAnsi="Calibri"/>
          <w:sz w:val="14"/>
          <w:szCs w:val="14"/>
        </w:rPr>
      </w:pPr>
    </w:p>
    <w:p w:rsidR="00606BCC" w:rsidRDefault="00606BCC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06BCC" w:rsidRDefault="00991934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</w:p>
    <w:p w:rsidR="007A5918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991934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>(FIRMA REPRESENTANTE LEGAL)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>Nombres y Apellidos</w:t>
      </w:r>
      <w:r w:rsidRPr="00991934">
        <w:rPr>
          <w:rFonts w:ascii="Calibri" w:hAnsi="Calibri"/>
          <w:sz w:val="22"/>
          <w:szCs w:val="22"/>
        </w:rPr>
        <w:t>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 xml:space="preserve">Cargo </w:t>
      </w:r>
      <w:r w:rsidRPr="00991934">
        <w:rPr>
          <w:rFonts w:ascii="Calibri" w:hAnsi="Calibri"/>
          <w:sz w:val="22"/>
          <w:szCs w:val="22"/>
        </w:rPr>
        <w:t xml:space="preserve">dentro de la </w:t>
      </w:r>
      <w:r w:rsidR="00EE4FB7">
        <w:rPr>
          <w:rFonts w:ascii="Calibri" w:hAnsi="Calibri"/>
          <w:sz w:val="22"/>
          <w:szCs w:val="22"/>
        </w:rPr>
        <w:t>Institu</w:t>
      </w:r>
      <w:r w:rsidRPr="00991934">
        <w:rPr>
          <w:rFonts w:ascii="Calibri" w:hAnsi="Calibri"/>
          <w:sz w:val="22"/>
          <w:szCs w:val="22"/>
        </w:rPr>
        <w:t>ción)</w:t>
      </w:r>
    </w:p>
    <w:p w:rsidR="00991934" w:rsidRDefault="00991934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DE61A4" w:rsidRDefault="007A5918" w:rsidP="00BD42AB">
      <w:pPr>
        <w:spacing w:line="360" w:lineRule="auto"/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(día/mes/año</w:t>
      </w:r>
      <w:r w:rsidR="00DE61A4" w:rsidRPr="00DE61A4">
        <w:rPr>
          <w:rFonts w:ascii="Calibri" w:hAnsi="Calibri"/>
          <w:sz w:val="22"/>
          <w:szCs w:val="22"/>
        </w:rPr>
        <w:t>)</w:t>
      </w:r>
    </w:p>
    <w:sectPr w:rsidR="00BD42AB" w:rsidRPr="00DE61A4" w:rsidSect="00DE61A4">
      <w:headerReference w:type="default" r:id="rId10"/>
      <w:footerReference w:type="even" r:id="rId11"/>
      <w:footerReference w:type="default" r:id="rId12"/>
      <w:pgSz w:w="11906" w:h="16838"/>
      <w:pgMar w:top="2160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B27" w:rsidRDefault="00104B27">
      <w:r>
        <w:separator/>
      </w:r>
    </w:p>
  </w:endnote>
  <w:endnote w:type="continuationSeparator" w:id="0">
    <w:p w:rsidR="00104B27" w:rsidRDefault="0010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DE61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B27" w:rsidRDefault="00104B27">
      <w:r>
        <w:separator/>
      </w:r>
    </w:p>
  </w:footnote>
  <w:footnote w:type="continuationSeparator" w:id="0">
    <w:p w:rsidR="00104B27" w:rsidRDefault="00104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276D8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B9C54BF" wp14:editId="076BDC7C">
          <wp:simplePos x="0" y="0"/>
          <wp:positionH relativeFrom="column">
            <wp:posOffset>-205104</wp:posOffset>
          </wp:positionH>
          <wp:positionV relativeFrom="paragraph">
            <wp:posOffset>-97789</wp:posOffset>
          </wp:positionV>
          <wp:extent cx="3028950" cy="928878"/>
          <wp:effectExtent l="0" t="0" r="0" b="5080"/>
          <wp:wrapNone/>
          <wp:docPr id="4" name="Imagen 4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616" cy="937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CEC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5FAB3828" wp14:editId="469635D7">
          <wp:simplePos x="0" y="0"/>
          <wp:positionH relativeFrom="column">
            <wp:posOffset>4836160</wp:posOffset>
          </wp:positionH>
          <wp:positionV relativeFrom="paragraph">
            <wp:posOffset>6985</wp:posOffset>
          </wp:positionV>
          <wp:extent cx="1104265" cy="603885"/>
          <wp:effectExtent l="0" t="0" r="63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D8B" w:rsidRDefault="00276D8B" w:rsidP="00276D8B">
    <w:pPr>
      <w:pStyle w:val="Encabezado"/>
      <w:ind w:left="851"/>
    </w:pPr>
  </w:p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9.5pt;height:19.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27"/>
    <w:rsid w:val="00104BD1"/>
    <w:rsid w:val="001134D2"/>
    <w:rsid w:val="00114E2B"/>
    <w:rsid w:val="00124727"/>
    <w:rsid w:val="00126C1E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C36"/>
    <w:rsid w:val="001F0733"/>
    <w:rsid w:val="001F2C98"/>
    <w:rsid w:val="00201407"/>
    <w:rsid w:val="002037C1"/>
    <w:rsid w:val="00215266"/>
    <w:rsid w:val="00236608"/>
    <w:rsid w:val="002422D4"/>
    <w:rsid w:val="002455ED"/>
    <w:rsid w:val="0027609E"/>
    <w:rsid w:val="00276D8B"/>
    <w:rsid w:val="002846D9"/>
    <w:rsid w:val="00286BA0"/>
    <w:rsid w:val="00287A6A"/>
    <w:rsid w:val="00292E5E"/>
    <w:rsid w:val="00294A8D"/>
    <w:rsid w:val="0029512A"/>
    <w:rsid w:val="002A6346"/>
    <w:rsid w:val="002A73A7"/>
    <w:rsid w:val="002C06BF"/>
    <w:rsid w:val="002C237F"/>
    <w:rsid w:val="002C682D"/>
    <w:rsid w:val="002D335A"/>
    <w:rsid w:val="002D52BA"/>
    <w:rsid w:val="002D5A00"/>
    <w:rsid w:val="002E0C69"/>
    <w:rsid w:val="002F4628"/>
    <w:rsid w:val="00307E86"/>
    <w:rsid w:val="00313889"/>
    <w:rsid w:val="00325E18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0875"/>
    <w:rsid w:val="003D53A3"/>
    <w:rsid w:val="003D5FE1"/>
    <w:rsid w:val="003E1409"/>
    <w:rsid w:val="003E5678"/>
    <w:rsid w:val="003F6070"/>
    <w:rsid w:val="00402A24"/>
    <w:rsid w:val="00404826"/>
    <w:rsid w:val="00413096"/>
    <w:rsid w:val="004138CC"/>
    <w:rsid w:val="00430A5E"/>
    <w:rsid w:val="00431EA9"/>
    <w:rsid w:val="0043422B"/>
    <w:rsid w:val="00437C76"/>
    <w:rsid w:val="004405AB"/>
    <w:rsid w:val="0044390B"/>
    <w:rsid w:val="0044716A"/>
    <w:rsid w:val="00454E81"/>
    <w:rsid w:val="00456EA8"/>
    <w:rsid w:val="004606FA"/>
    <w:rsid w:val="004617EF"/>
    <w:rsid w:val="004947F1"/>
    <w:rsid w:val="00495ABE"/>
    <w:rsid w:val="004A1D52"/>
    <w:rsid w:val="004C4AAE"/>
    <w:rsid w:val="004E1AA5"/>
    <w:rsid w:val="004E3D62"/>
    <w:rsid w:val="004E7CED"/>
    <w:rsid w:val="004F3DAC"/>
    <w:rsid w:val="00522D01"/>
    <w:rsid w:val="00524A9C"/>
    <w:rsid w:val="005266E4"/>
    <w:rsid w:val="005358A2"/>
    <w:rsid w:val="00536AF9"/>
    <w:rsid w:val="005514A7"/>
    <w:rsid w:val="0055474E"/>
    <w:rsid w:val="00555D06"/>
    <w:rsid w:val="00555F17"/>
    <w:rsid w:val="00557080"/>
    <w:rsid w:val="00576934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68F9"/>
    <w:rsid w:val="005F5AEB"/>
    <w:rsid w:val="00601115"/>
    <w:rsid w:val="00604804"/>
    <w:rsid w:val="00606BCC"/>
    <w:rsid w:val="00611DBF"/>
    <w:rsid w:val="00613851"/>
    <w:rsid w:val="00620D40"/>
    <w:rsid w:val="006272A3"/>
    <w:rsid w:val="006307E4"/>
    <w:rsid w:val="00636E56"/>
    <w:rsid w:val="006374AF"/>
    <w:rsid w:val="00655744"/>
    <w:rsid w:val="00666164"/>
    <w:rsid w:val="00673046"/>
    <w:rsid w:val="0068022B"/>
    <w:rsid w:val="006904C1"/>
    <w:rsid w:val="006929DE"/>
    <w:rsid w:val="00693AD7"/>
    <w:rsid w:val="00695B76"/>
    <w:rsid w:val="00696259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74C77"/>
    <w:rsid w:val="00790392"/>
    <w:rsid w:val="00793760"/>
    <w:rsid w:val="00793801"/>
    <w:rsid w:val="0079650F"/>
    <w:rsid w:val="007A074A"/>
    <w:rsid w:val="007A07F5"/>
    <w:rsid w:val="007A5918"/>
    <w:rsid w:val="007C7E52"/>
    <w:rsid w:val="007D0882"/>
    <w:rsid w:val="007D6CDA"/>
    <w:rsid w:val="007E1B5B"/>
    <w:rsid w:val="007E6582"/>
    <w:rsid w:val="007F225B"/>
    <w:rsid w:val="007F3DDD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57DE0"/>
    <w:rsid w:val="00967A0C"/>
    <w:rsid w:val="0097299D"/>
    <w:rsid w:val="009749C0"/>
    <w:rsid w:val="00991934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248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D3AD9"/>
    <w:rsid w:val="00AE2D60"/>
    <w:rsid w:val="00AE3028"/>
    <w:rsid w:val="00AE5710"/>
    <w:rsid w:val="00AF15BC"/>
    <w:rsid w:val="00B0781E"/>
    <w:rsid w:val="00B12ED4"/>
    <w:rsid w:val="00B16000"/>
    <w:rsid w:val="00B276C4"/>
    <w:rsid w:val="00B27D20"/>
    <w:rsid w:val="00B350FC"/>
    <w:rsid w:val="00B376EB"/>
    <w:rsid w:val="00B42A03"/>
    <w:rsid w:val="00B465B6"/>
    <w:rsid w:val="00B52863"/>
    <w:rsid w:val="00B54D87"/>
    <w:rsid w:val="00B575E0"/>
    <w:rsid w:val="00B72082"/>
    <w:rsid w:val="00B73C71"/>
    <w:rsid w:val="00B81442"/>
    <w:rsid w:val="00B8680B"/>
    <w:rsid w:val="00BA3781"/>
    <w:rsid w:val="00BA6C8A"/>
    <w:rsid w:val="00BB0838"/>
    <w:rsid w:val="00BB6D88"/>
    <w:rsid w:val="00BC1B8A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60264"/>
    <w:rsid w:val="00C620B6"/>
    <w:rsid w:val="00C723C3"/>
    <w:rsid w:val="00C77A6C"/>
    <w:rsid w:val="00C8207B"/>
    <w:rsid w:val="00C85BD2"/>
    <w:rsid w:val="00C954ED"/>
    <w:rsid w:val="00CB57F1"/>
    <w:rsid w:val="00CC21E1"/>
    <w:rsid w:val="00CC4D9F"/>
    <w:rsid w:val="00CD239E"/>
    <w:rsid w:val="00CD41EB"/>
    <w:rsid w:val="00CE2CEC"/>
    <w:rsid w:val="00CE3310"/>
    <w:rsid w:val="00CF5819"/>
    <w:rsid w:val="00D06DB2"/>
    <w:rsid w:val="00D10D06"/>
    <w:rsid w:val="00D31D63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E3DEC"/>
    <w:rsid w:val="00DE61A4"/>
    <w:rsid w:val="00DF3A8C"/>
    <w:rsid w:val="00DF7113"/>
    <w:rsid w:val="00E06043"/>
    <w:rsid w:val="00E06A4A"/>
    <w:rsid w:val="00E14FD4"/>
    <w:rsid w:val="00E23477"/>
    <w:rsid w:val="00E42E3A"/>
    <w:rsid w:val="00E45C1F"/>
    <w:rsid w:val="00E476AC"/>
    <w:rsid w:val="00E601DF"/>
    <w:rsid w:val="00E62730"/>
    <w:rsid w:val="00E668F2"/>
    <w:rsid w:val="00EB2FB0"/>
    <w:rsid w:val="00EC4B11"/>
    <w:rsid w:val="00ED675C"/>
    <w:rsid w:val="00EE4FB7"/>
    <w:rsid w:val="00EE5B9A"/>
    <w:rsid w:val="00EE6BC1"/>
    <w:rsid w:val="00EF19CB"/>
    <w:rsid w:val="00F0439F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63FEB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A676CD2-D785-4E39-BB23-D627154E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character" w:customStyle="1" w:styleId="EncabezadoCar">
    <w:name w:val="Encabezado Car"/>
    <w:basedOn w:val="Fuentedeprrafopredeter"/>
    <w:link w:val="Encabezado"/>
    <w:uiPriority w:val="99"/>
    <w:rsid w:val="00276D8B"/>
    <w:rPr>
      <w:color w:val="000000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1667DE-6A07-40EA-AE28-1B5C3EE94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F4884-3CA8-4F83-B779-9E14F38A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392CD-0348-49FB-A37F-6FE6684EB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Ximena Correa Vassallo</cp:lastModifiedBy>
  <cp:revision>2</cp:revision>
  <cp:lastPrinted>2011-12-05T14:36:00Z</cp:lastPrinted>
  <dcterms:created xsi:type="dcterms:W3CDTF">2016-07-04T16:51:00Z</dcterms:created>
  <dcterms:modified xsi:type="dcterms:W3CDTF">2016-07-04T16:51:00Z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